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BCB4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Sąd Rejonowy w Jarosławiu</w:t>
      </w:r>
    </w:p>
    <w:p w14:paraId="73C619AF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Wydział I Cywilny </w:t>
      </w:r>
    </w:p>
    <w:p w14:paraId="11D435AE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ul. Jana Pawła II  11</w:t>
      </w:r>
    </w:p>
    <w:p w14:paraId="151C054B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37-500 Jarosław</w:t>
      </w:r>
    </w:p>
    <w:p w14:paraId="6F03C0BF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</w:p>
    <w:p w14:paraId="7E06498F" w14:textId="77777777" w:rsidR="00BF1A60" w:rsidRDefault="00BF1A60" w:rsidP="00BF1A60">
      <w:pPr>
        <w:pStyle w:val="Bezodstpw"/>
        <w:rPr>
          <w:rFonts w:ascii="Times New Roman" w:hAnsi="Times New Roman" w:cs="Times New Roman"/>
          <w:sz w:val="27"/>
          <w:szCs w:val="27"/>
        </w:rPr>
      </w:pPr>
    </w:p>
    <w:p w14:paraId="5240DBA0" w14:textId="77777777" w:rsidR="00BF1A60" w:rsidRDefault="00BF1A60" w:rsidP="00BF1A60">
      <w:pPr>
        <w:pStyle w:val="Bezodstpw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Sygn. akt </w:t>
      </w:r>
      <w:r>
        <w:rPr>
          <w:rFonts w:ascii="Times New Roman" w:hAnsi="Times New Roman" w:cs="Times New Roman"/>
          <w:b/>
          <w:sz w:val="27"/>
          <w:szCs w:val="27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Ns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322/26</w:t>
      </w:r>
    </w:p>
    <w:p w14:paraId="1D365987" w14:textId="77777777" w:rsidR="00BF1A60" w:rsidRDefault="00BF1A60" w:rsidP="00BF1A60">
      <w:pPr>
        <w:pStyle w:val="Bezodstpw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(poprzednia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sygn..akt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184/24)</w:t>
      </w:r>
    </w:p>
    <w:p w14:paraId="49153FB2" w14:textId="77777777" w:rsidR="00BF1A60" w:rsidRDefault="00BF1A60" w:rsidP="00BF1A60">
      <w:pPr>
        <w:pStyle w:val="Bezodstpw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F397D95" w14:textId="77777777" w:rsidR="00BF1A60" w:rsidRDefault="00BF1A60" w:rsidP="00BF1A60">
      <w:pPr>
        <w:rPr>
          <w:sz w:val="24"/>
          <w:szCs w:val="24"/>
        </w:rPr>
      </w:pPr>
    </w:p>
    <w:p w14:paraId="6B93A8E0" w14:textId="77777777" w:rsidR="00BF1A60" w:rsidRDefault="00BF1A60" w:rsidP="00BF1A6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OGŁOSZENIE</w:t>
      </w:r>
    </w:p>
    <w:p w14:paraId="1AC27ADC" w14:textId="77777777" w:rsidR="00BF1A60" w:rsidRDefault="00BF1A60" w:rsidP="00BF1A6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F0098A" w14:textId="77777777" w:rsidR="00BF1A60" w:rsidRDefault="00BF1A60" w:rsidP="00BF1A60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„W Sądzie Rejonowym w Jarosławiu, I Wydział Cywilny pod 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322/26 </w:t>
      </w:r>
      <w:r>
        <w:rPr>
          <w:rFonts w:ascii="Times New Roman" w:hAnsi="Times New Roman" w:cs="Times New Roman"/>
          <w:sz w:val="26"/>
          <w:szCs w:val="26"/>
        </w:rPr>
        <w:t xml:space="preserve">toczy się postępowanie w sprawie z wniosku Stanisławy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z udziałem: Zofii Biel, Józefy Pic, Władysława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Zofii </w:t>
      </w:r>
      <w:proofErr w:type="spellStart"/>
      <w:r>
        <w:rPr>
          <w:rFonts w:ascii="Times New Roman" w:hAnsi="Times New Roman" w:cs="Times New Roman"/>
          <w:sz w:val="26"/>
          <w:szCs w:val="26"/>
        </w:rPr>
        <w:t>Pańczocha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Grzegorza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Katarzyny </w:t>
      </w:r>
      <w:proofErr w:type="spellStart"/>
      <w:r>
        <w:rPr>
          <w:rFonts w:ascii="Times New Roman" w:hAnsi="Times New Roman" w:cs="Times New Roman"/>
          <w:sz w:val="26"/>
          <w:szCs w:val="26"/>
        </w:rPr>
        <w:t>Kozdroń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Marii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Adolfa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Józefa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Władysławy </w:t>
      </w:r>
      <w:proofErr w:type="spellStart"/>
      <w:r>
        <w:rPr>
          <w:rFonts w:ascii="Times New Roman" w:hAnsi="Times New Roman" w:cs="Times New Roman"/>
          <w:sz w:val="26"/>
          <w:szCs w:val="26"/>
        </w:rPr>
        <w:t>Szumilas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Haliny </w:t>
      </w:r>
      <w:proofErr w:type="spellStart"/>
      <w:r>
        <w:rPr>
          <w:rFonts w:ascii="Times New Roman" w:hAnsi="Times New Roman" w:cs="Times New Roman"/>
          <w:sz w:val="26"/>
          <w:szCs w:val="26"/>
        </w:rPr>
        <w:t>Kuryj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Marii Gwóźdź, Zenona Łagoda, Zdzisława Łagoda, Tadeusza Łagoda, Grzegorza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Anny Comber, Mirosława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Renaty Macek i Iwony Stasiowskiej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o dział spadku po Agacie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Stosor</w:t>
      </w:r>
      <w:proofErr w:type="spellEnd"/>
    </w:p>
    <w:p w14:paraId="60AAAEC6" w14:textId="77777777" w:rsidR="00BF1A60" w:rsidRDefault="00BF1A60" w:rsidP="00BF1A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art. 510 § 2 k.p.c. ustanowić dla uczestnika Grzegorza </w:t>
      </w:r>
      <w:proofErr w:type="spellStart"/>
      <w:r>
        <w:rPr>
          <w:rFonts w:ascii="Times New Roman" w:hAnsi="Times New Roman" w:cs="Times New Roman"/>
          <w:sz w:val="26"/>
          <w:szCs w:val="26"/>
        </w:rPr>
        <w:t>Stosura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(zam. Rzeszów), którego miejsce pobytu nie jest znane – </w:t>
      </w:r>
      <w:r>
        <w:rPr>
          <w:rFonts w:ascii="Times New Roman" w:hAnsi="Times New Roman" w:cs="Times New Roman"/>
          <w:b/>
          <w:sz w:val="26"/>
          <w:szCs w:val="26"/>
        </w:rPr>
        <w:t xml:space="preserve">kuratora w osobie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radcy prawnego Justyny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Segiet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-Turowskiej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(adres do kontaktu; Jarosław ul. Solskiego 8)</w:t>
      </w:r>
      <w:r>
        <w:rPr>
          <w:rFonts w:ascii="Times New Roman" w:hAnsi="Times New Roman" w:cs="Times New Roman"/>
          <w:bCs/>
          <w:sz w:val="26"/>
          <w:szCs w:val="26"/>
        </w:rPr>
        <w:t xml:space="preserve">,  </w:t>
      </w:r>
    </w:p>
    <w:p w14:paraId="0EFFD240" w14:textId="77777777" w:rsidR="00BF1A60" w:rsidRDefault="00BF1A60" w:rsidP="00BF1A60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319F72" w14:textId="77777777" w:rsidR="00BF1A60" w:rsidRDefault="00BF1A60" w:rsidP="00BF1A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uzależnić skuteczność doręczenia wniosku kuratorowi od upływu dwóch tygodni od chwili wywieszenia obwieszczenia w budynku sądowym.”</w:t>
      </w:r>
    </w:p>
    <w:p w14:paraId="0CE63B78" w14:textId="77777777" w:rsidR="001E2892" w:rsidRDefault="001E2892"/>
    <w:sectPr w:rsidR="001E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7837"/>
    <w:multiLevelType w:val="hybridMultilevel"/>
    <w:tmpl w:val="F594B97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3"/>
    <w:rsid w:val="001E2892"/>
    <w:rsid w:val="008227DE"/>
    <w:rsid w:val="00832453"/>
    <w:rsid w:val="00BF1A60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1C318-815F-4CE1-8ECC-6C0EF226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A6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A6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F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2026-07-02T09:28:00Z</dcterms:created>
  <dcterms:modified xsi:type="dcterms:W3CDTF">2026-07-02T09:28:00Z</dcterms:modified>
</cp:coreProperties>
</file>